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-428622</wp:posOffset>
            </wp:positionH>
            <wp:positionV relativeFrom="paragraph">
              <wp:posOffset>57150</wp:posOffset>
            </wp:positionV>
            <wp:extent cx="1589187" cy="1338263"/>
            <wp:effectExtent b="0" l="0" r="0" t="0"/>
            <wp:wrapSquare wrapText="bothSides" distB="57150" distT="57150" distL="57150" distR="57150"/>
            <wp:docPr descr="Logo_AMPap.jpg" id="1" name="image2.jpg"/>
            <a:graphic>
              <a:graphicData uri="http://schemas.openxmlformats.org/drawingml/2006/picture">
                <pic:pic>
                  <pic:nvPicPr>
                    <pic:cNvPr descr="Logo_AMPap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187" cy="133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Guillermo Martín Carballo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Mireya Orio Hernández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Vicepresidenta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Mª Elena Cabezas Tapia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Tesorera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Eva María Navarro Villalba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14"/>
          <w:szCs w:val="14"/>
          <w:rtl w:val="0"/>
        </w:rPr>
        <w:t xml:space="preserve">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Paloma de la Calle Tejerina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Mª Jesús Escribano Romero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Juan Antonio García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Juan B. Machado Mellana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Sandra Montoro Chavarrías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>
          <w:rFonts w:ascii="Trebuchet MS" w:cs="Trebuchet MS" w:eastAsia="Trebuchet MS" w:hAnsi="Trebuchet MS"/>
          <w:color w:val="00919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Pilar Ortiz Ros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>
          <w:rFonts w:ascii="Trebuchet MS" w:cs="Trebuchet MS" w:eastAsia="Trebuchet MS" w:hAnsi="Trebuchet MS"/>
          <w:color w:val="00919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color w:val="009191"/>
          <w:sz w:val="16"/>
          <w:szCs w:val="16"/>
          <w:rtl w:val="0"/>
        </w:rPr>
        <w:t xml:space="preserve">Clara Luna Parera Pinilla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6240" w:firstLine="0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14"/>
          <w:szCs w:val="14"/>
          <w:rtl w:val="0"/>
        </w:rPr>
        <w:t xml:space="preserve">Vocales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CONVOCATORIA DE BECA AMPap 2018 PARA LA INVESTIGACIÓN EN PEDIATRÍA DE ATENCIÓN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La Asociación de Pediatría de Atención Primaria (AMPap), con el propósito de promocionar la investigación en el campo de la pediatría de atención primaria, convoca una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ayuda para la investigación, con una dotación de 3 000 euros brutos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BASES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Puede optar a esta beca cualquier médico (residentes incluidos) que trabaje como pediatra en un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centro sanitario de Madrid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y presente un proyecto de investigación de interés directo en Pediatría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Atención Primaria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 El investigador principal debe trabajar activamente en Atención Primaria, y al menos uno de los miembros del equipo investigador debe ser socio de la AMPap en el momento de publicación de esta convocatoria.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361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temas de investigación de los proyectos que quieran optar a las ayudas versarán, se planificarán, desarrollarán y aplicarán en el campo de la Atención Primaria.</w:t>
      </w:r>
    </w:p>
    <w:p w:rsidR="00000000" w:rsidDel="00000000" w:rsidP="00000000" w:rsidRDefault="00000000" w:rsidRPr="00000000" w14:paraId="00000023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equipo investigador desarrollará su trabajo en un periodo máximo de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dos años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contados desde el momento de concesión de la ayuda.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"/>
        </w:numPr>
        <w:ind w:left="720" w:hanging="35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optar a esta ayuda, y con el objetivo de preservar el anonimato, se presentará una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copia en papel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la memoria del proyecto de investigación 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dirección postal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Lúa Ediciones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(Lúa Ediciones, 3.0, S.L. Avda. Burgos, 39, 1º izquierda. 28036 Madrid), teniendo en cuenta las siguientes premisas: </w:t>
      </w:r>
    </w:p>
    <w:p w:rsidR="00000000" w:rsidDel="00000000" w:rsidP="00000000" w:rsidRDefault="00000000" w:rsidRPr="00000000" w14:paraId="00000027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La memoria del proyecto irá firmada con un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seudónimo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del investigador principal.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En una plica adjunta se especificará, junto con el título del proyecto de investigación, el nombre real del investigador principal y de sus colaboradores, con los cargos asistenciales, lugar de trabajo y un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u w:val="single"/>
          <w:rtl w:val="0"/>
        </w:rPr>
        <w:t xml:space="preserve">teléfono y un correo electrónico de contacto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para confirmar la recepción de la memoria.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 se aceptarán aquellas propuestas que se reciban por correo electrónico o de forma duplicada por correo electrónico y postal, con el objetivo de evaluar los trabajos de forma ciega.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Junto con la solicitud se enviará el justificante de que el proyecto de investigación se ha presentado al Comité Ético de investigación Clínica (CEIC) que corresponda. </w:t>
      </w:r>
    </w:p>
    <w:p w:rsidR="00000000" w:rsidDel="00000000" w:rsidP="00000000" w:rsidRDefault="00000000" w:rsidRPr="00000000" w14:paraId="0000002F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La memoria del proyecto de investigación constará de los siguientes apartados:</w:t>
      </w:r>
    </w:p>
    <w:p w:rsidR="00000000" w:rsidDel="00000000" w:rsidP="00000000" w:rsidRDefault="00000000" w:rsidRPr="00000000" w14:paraId="00000031">
      <w:pPr>
        <w:widowControl w:val="1"/>
        <w:ind w:left="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Título</w:t>
      </w:r>
    </w:p>
    <w:p w:rsidR="00000000" w:rsidDel="00000000" w:rsidP="00000000" w:rsidRDefault="00000000" w:rsidRPr="00000000" w14:paraId="00000033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Seudónimo del investigador principal.</w:t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Resumen en español (máximo 250 palabras)</w:t>
      </w:r>
    </w:p>
    <w:p w:rsidR="00000000" w:rsidDel="00000000" w:rsidP="00000000" w:rsidRDefault="00000000" w:rsidRPr="00000000" w14:paraId="00000035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Introducción: donde se explicará el "estado del arte" o estado actual del tema objeto de investigación (máximo 3 páginas A4)</w:t>
      </w:r>
    </w:p>
    <w:p w:rsidR="00000000" w:rsidDel="00000000" w:rsidP="00000000" w:rsidRDefault="00000000" w:rsidRPr="00000000" w14:paraId="00000036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Hipótesis y objetivos principal y secundarios (1 página A4):</w:t>
      </w:r>
    </w:p>
    <w:p w:rsidR="00000000" w:rsidDel="00000000" w:rsidP="00000000" w:rsidRDefault="00000000" w:rsidRPr="00000000" w14:paraId="00000037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Metodología (máximo 3 páginas A4)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Tipo de estudio.Materiales y/o técnicas utilizadas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Pacientes estudiados: muestra, población diana, criterios de inclusión y exclusión.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Variables estudiadas: definición, recogida de datos.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Cronograma (calendario del proyecto) 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3"/>
        </w:numPr>
        <w:spacing w:after="280" w:lineRule="auto"/>
        <w:ind w:left="25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Limitaciones y posibles sesgos del estudio.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Aplicabilidad y limitaciones del estudio (1 página A4)</w:t>
      </w:r>
    </w:p>
    <w:p w:rsidR="00000000" w:rsidDel="00000000" w:rsidP="00000000" w:rsidRDefault="00000000" w:rsidRPr="00000000" w14:paraId="0000003E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Presupuesto detallado (1 página A4) en el que conste el importe de los gastos previstos para el proyecto de investigación, así como una declaración de otras fuentes de financiación recibidas o solicitadas para el estudio.</w:t>
      </w:r>
    </w:p>
    <w:p w:rsidR="00000000" w:rsidDel="00000000" w:rsidP="00000000" w:rsidRDefault="00000000" w:rsidRPr="00000000" w14:paraId="0000003F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Bibliografía: (máximo 2 páginas). Básica, incluyendo la más importante, clásica y actualizada, según las normas de Vancouver.</w:t>
      </w:r>
    </w:p>
    <w:p w:rsidR="00000000" w:rsidDel="00000000" w:rsidP="00000000" w:rsidRDefault="00000000" w:rsidRPr="00000000" w14:paraId="00000040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Anexos, si son precisos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incluir las escalas o tablas de evaluación comúnmente conocidas)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1081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Normas de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redacción:</w:t>
      </w:r>
    </w:p>
    <w:p w:rsidR="00000000" w:rsidDel="00000000" w:rsidP="00000000" w:rsidRDefault="00000000" w:rsidRPr="00000000" w14:paraId="00000043">
      <w:pPr>
        <w:widowControl w:val="1"/>
        <w:ind w:left="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Formato: Letra tipo Arial, tamaño 11, interlineado sencillo, espaciado anterior y posterior 6 ptos. Páginas numeradas.</w:t>
      </w:r>
    </w:p>
    <w:p w:rsidR="00000000" w:rsidDel="00000000" w:rsidP="00000000" w:rsidRDefault="00000000" w:rsidRPr="00000000" w14:paraId="00000045">
      <w:pPr>
        <w:widowControl w:val="1"/>
        <w:numPr>
          <w:ilvl w:val="1"/>
          <w:numId w:val="2"/>
        </w:numPr>
        <w:ind w:left="1440" w:hanging="359.00000000000006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Abreviaturas. Figurarán siempre inmediatamente después de la palabra o grupo de palabras a la que se refiera por primera vez. Se evitará su uso en el título. </w:t>
      </w:r>
    </w:p>
    <w:p w:rsidR="00000000" w:rsidDel="00000000" w:rsidP="00000000" w:rsidRDefault="00000000" w:rsidRPr="00000000" w14:paraId="00000046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2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tribunal que juzgará las solicitudes y seleccionará el proyecto ganador estará compuesto por 4 miembros, designados por la  Junta  Directiva de la  AMPap, y un representante de la  Revista de Pediatría en Atención Primaria. </w:t>
      </w:r>
    </w:p>
    <w:p w:rsidR="00000000" w:rsidDel="00000000" w:rsidP="00000000" w:rsidRDefault="00000000" w:rsidRPr="00000000" w14:paraId="00000048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tribunal tendrá en cuenta los siguientes criterios:</w:t>
      </w:r>
    </w:p>
    <w:p w:rsidR="00000000" w:rsidDel="00000000" w:rsidP="00000000" w:rsidRDefault="00000000" w:rsidRPr="00000000" w14:paraId="0000004A">
      <w:pPr>
        <w:widowControl w:val="1"/>
        <w:ind w:left="720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1"/>
        </w:numPr>
        <w:ind w:left="2160" w:hanging="359.00000000000006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Tema de interés en Pediatría de Atención Primaria.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1"/>
        </w:numPr>
        <w:ind w:left="2160" w:hanging="359.00000000000006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Originalidad.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1"/>
        </w:numPr>
        <w:ind w:left="2160" w:hanging="359.00000000000006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Aplicabilidad directa en las consultas de Pediatría.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1"/>
        </w:numPr>
        <w:ind w:left="2160" w:hanging="359.00000000000006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Calidad de elaboración del proyecto.</w:t>
      </w:r>
    </w:p>
    <w:p w:rsidR="00000000" w:rsidDel="00000000" w:rsidP="00000000" w:rsidRDefault="00000000" w:rsidRPr="00000000" w14:paraId="0000004F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 podrá formar parte del tribunal ninguno de los firmantes de un trabajo aspirante a la beca. </w:t>
      </w:r>
    </w:p>
    <w:p w:rsidR="00000000" w:rsidDel="00000000" w:rsidP="00000000" w:rsidRDefault="00000000" w:rsidRPr="00000000" w14:paraId="00000051">
      <w:pPr>
        <w:widowControl w:val="1"/>
        <w:ind w:left="361" w:firstLine="0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plazo para la presentación de solicitudes finalizará a las 24:00 horas del día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14 de Diciembre de 2018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La decisión del tribunal será comunicada al investigador principal vía telefónica o por correo electrónico, según los datos de su plica. Además, se hará pública la decisión a través de la web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www.ampap.es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) y de la lista de correos de los socios de la AMPap.</w:t>
      </w:r>
    </w:p>
    <w:p w:rsidR="00000000" w:rsidDel="00000000" w:rsidP="00000000" w:rsidRDefault="00000000" w:rsidRPr="00000000" w14:paraId="00000055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hará efectiva la concesión de la beca en un acto público organizado por la AMPap, en el que al menos un miembro del equipo investigador se personará y expondrá un resumen del proyecto ganador. El pago se hará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mediante transferencia bancaria en dos plazos: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1500 euros al inicio de la investigación y otros 1500 euros que se entregarán tras la presentación de un justificante que atestigüe el envío del trabajo a una revista profesional para su publicación. Los gastos originados por el pago se descontarán del importe total de la beca.</w:t>
      </w:r>
    </w:p>
    <w:p w:rsidR="00000000" w:rsidDel="00000000" w:rsidP="00000000" w:rsidRDefault="00000000" w:rsidRPr="00000000" w14:paraId="00000057">
      <w:pPr>
        <w:widowControl w:val="1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Al finalizar el primer año tras la concesión de la beca el grupo investigador enviará una memoria en la que se detalle el curso del proyecto.</w:t>
      </w:r>
    </w:p>
    <w:p w:rsidR="00000000" w:rsidDel="00000000" w:rsidP="00000000" w:rsidRDefault="00000000" w:rsidRPr="00000000" w14:paraId="00000059">
      <w:pPr>
        <w:widowControl w:val="1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En el caso de no finalizar el estudio, la ayuda económica recibida hasta ese momento deberá ser devuelta en su totalidad a la AMPap.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ind w:left="361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grupo investigador se comprometerá a publicar los resultados obtenidos, aunque estos no fueran los esperados.</w:t>
      </w:r>
    </w:p>
    <w:p w:rsidR="00000000" w:rsidDel="00000000" w:rsidP="00000000" w:rsidRDefault="00000000" w:rsidRPr="00000000" w14:paraId="0000005D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El trabajo ganador podrá ser publicado en la 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Revista de Pediatría en Atención Primaria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o en otra revista profesional que el grupo decida. Se deberá dejar constancia de que el proyecto ha sido financiado (total o parcialmente) por la  AMPap. </w:t>
      </w:r>
    </w:p>
    <w:p w:rsidR="00000000" w:rsidDel="00000000" w:rsidP="00000000" w:rsidRDefault="00000000" w:rsidRPr="00000000" w14:paraId="0000005F">
      <w:pPr>
        <w:widowControl w:val="1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La beca podrá declararse desierta por falta de suficiente calidad en los trabajos presentados como candidatos.</w:t>
      </w:r>
    </w:p>
    <w:p w:rsidR="00000000" w:rsidDel="00000000" w:rsidP="00000000" w:rsidRDefault="00000000" w:rsidRPr="00000000" w14:paraId="00000061">
      <w:pPr>
        <w:widowControl w:val="1"/>
        <w:contextualSpacing w:val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4"/>
        </w:numPr>
        <w:ind w:left="720" w:hanging="35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participación en esta convocatoria supone la aceptación de sus bases.</w:t>
      </w:r>
    </w:p>
    <w:p w:rsidR="00000000" w:rsidDel="00000000" w:rsidP="00000000" w:rsidRDefault="00000000" w:rsidRPr="00000000" w14:paraId="00000063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Madrid, a 24 de Septiembre  del 2018. </w:t>
      </w:r>
    </w:p>
    <w:p w:rsidR="00000000" w:rsidDel="00000000" w:rsidP="00000000" w:rsidRDefault="00000000" w:rsidRPr="00000000" w14:paraId="00000066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          Junta Directiva AMPap</w:t>
      </w:r>
    </w:p>
    <w:p w:rsidR="00000000" w:rsidDel="00000000" w:rsidP="00000000" w:rsidRDefault="00000000" w:rsidRPr="00000000" w14:paraId="00000069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               </w:t>
      </w:r>
    </w:p>
    <w:p w:rsidR="00000000" w:rsidDel="00000000" w:rsidP="00000000" w:rsidRDefault="00000000" w:rsidRPr="00000000" w14:paraId="00000073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pos="4252"/>
          <w:tab w:val="right" w:pos="8504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sectPr>
      <w:headerReference r:id="rId8" w:type="default"/>
      <w:footerReference r:id="rId9" w:type="default"/>
      <w:pgSz w:h="16838" w:w="11906"/>
      <w:pgMar w:bottom="1417.3228346456694" w:top="1133.8582677165355" w:left="1700.7874015748032" w:right="1700.78740157480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AVENIDA DE BURGOS-39 1º Izq. 28036 Madrid. Tel. 616 722 687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line="480" w:lineRule="auto"/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Correo electrónico: </w:t>
    </w:r>
    <w:hyperlink r:id="rId1">
      <w:r w:rsidDel="00000000" w:rsidR="00000000" w:rsidRPr="00000000">
        <w:rPr>
          <w:rFonts w:ascii="Verdana" w:cs="Verdana" w:eastAsia="Verdana" w:hAnsi="Verdana"/>
          <w:color w:val="009191"/>
          <w:sz w:val="16"/>
          <w:szCs w:val="16"/>
          <w:u w:val="single"/>
          <w:rtl w:val="0"/>
        </w:rPr>
        <w:t xml:space="preserve">junta.ampap@gmail.com</w:t>
      </w:r>
    </w:hyperlink>
    <w:r w:rsidDel="00000000" w:rsidR="00000000" w:rsidRPr="00000000">
      <w:rPr>
        <w:rFonts w:ascii="Verdana" w:cs="Verdana" w:eastAsia="Verdana" w:hAnsi="Verdana"/>
        <w:color w:val="666666"/>
        <w:sz w:val="16"/>
        <w:szCs w:val="16"/>
        <w:rtl w:val="0"/>
      </w:rPr>
      <w:t xml:space="preserve">  Web: </w:t>
    </w:r>
    <w:hyperlink r:id="rId2">
      <w:r w:rsidDel="00000000" w:rsidR="00000000" w:rsidRPr="00000000">
        <w:rPr>
          <w:rFonts w:ascii="Verdana" w:cs="Verdana" w:eastAsia="Verdana" w:hAnsi="Verdana"/>
          <w:color w:val="009191"/>
          <w:sz w:val="16"/>
          <w:szCs w:val="16"/>
          <w:u w:val="single"/>
          <w:rtl w:val="0"/>
        </w:rPr>
        <w:t xml:space="preserve">www.ampap.es</w:t>
      </w:r>
    </w:hyperlink>
    <w:r w:rsidDel="00000000" w:rsidR="00000000" w:rsidRPr="00000000">
      <w:fldChar w:fldCharType="begin"/>
      <w:instrText xml:space="preserve"> HYPERLINK "http://www.ampap.es"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410"/>
      </w:tabs>
      <w:spacing w:before="720" w:lineRule="auto"/>
      <w:ind w:left="0"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</w:rPr>
    </w:lvl>
  </w:abstractNum>
  <w:abstractNum w:abstractNumId="4"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ampap.e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nta.ampap@gmail.com" TargetMode="External"/><Relationship Id="rId2" Type="http://schemas.openxmlformats.org/officeDocument/2006/relationships/hyperlink" Target="http://www.ampa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